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F3C" w:rsidRPr="001205EF" w:rsidRDefault="00C87F3C" w:rsidP="00C87F3C">
      <w:pPr>
        <w:pStyle w:val="PlainText"/>
        <w:rPr>
          <w:rFonts w:ascii="Arial" w:eastAsia="MS Mincho"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C87F3C" w:rsidRPr="001205EF" w:rsidTr="00FB5125">
        <w:trPr>
          <w:trHeight w:val="350"/>
        </w:trPr>
        <w:tc>
          <w:tcPr>
            <w:tcW w:w="10031" w:type="dxa"/>
          </w:tcPr>
          <w:p w:rsidR="00C87F3C" w:rsidRPr="001205EF" w:rsidRDefault="00C87F3C" w:rsidP="00FB5125">
            <w:pPr>
              <w:pStyle w:val="PlainText"/>
              <w:spacing w:before="60" w:after="60"/>
              <w:jc w:val="center"/>
              <w:rPr>
                <w:rFonts w:ascii="Arial" w:eastAsia="MS Mincho" w:hAnsi="Arial" w:cs="Arial"/>
                <w:b/>
              </w:rPr>
            </w:pPr>
            <w:r w:rsidRPr="001205EF">
              <w:rPr>
                <w:rFonts w:ascii="Arial" w:eastAsia="MS Mincho" w:hAnsi="Arial" w:cs="Arial"/>
                <w:b/>
              </w:rPr>
              <w:t>Learning Outcomes</w:t>
            </w:r>
            <w:r>
              <w:rPr>
                <w:rFonts w:ascii="Arial" w:eastAsia="MS Mincho" w:hAnsi="Arial" w:cs="Arial"/>
                <w:b/>
              </w:rPr>
              <w:t xml:space="preserve"> Acute Sporting Knee Course </w:t>
            </w:r>
          </w:p>
        </w:tc>
      </w:tr>
      <w:tr w:rsidR="00C87F3C" w:rsidRPr="001205EF" w:rsidTr="00FB5125">
        <w:trPr>
          <w:trHeight w:val="350"/>
        </w:trPr>
        <w:tc>
          <w:tcPr>
            <w:tcW w:w="10031" w:type="dxa"/>
          </w:tcPr>
          <w:p w:rsidR="00C87F3C" w:rsidRPr="00823D3E" w:rsidRDefault="00C87F3C" w:rsidP="00FB5125">
            <w:pPr>
              <w:pStyle w:val="PlainText"/>
              <w:rPr>
                <w:rFonts w:ascii="Arial" w:hAnsi="Arial" w:cs="Arial"/>
                <w:noProof/>
              </w:rPr>
            </w:pPr>
            <w:r w:rsidRPr="001205EF">
              <w:rPr>
                <w:rFonts w:ascii="Arial" w:hAnsi="Arial" w:cs="Arial"/>
                <w:noProof/>
              </w:rPr>
              <w:t xml:space="preserve">1. </w:t>
            </w: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r w:rsidRPr="001205EF">
              <w:rPr>
                <w:rFonts w:ascii="Arial" w:eastAsia="MS Mincho" w:hAnsi="Arial" w:cs="Arial"/>
                <w:b/>
                <w:sz w:val="22"/>
                <w:szCs w:val="22"/>
                <w:u w:val="single"/>
                <w:lang w:val="en-US"/>
              </w:rPr>
              <w:t> </w:t>
            </w:r>
            <w:r w:rsidRPr="00EF0120">
              <w:rPr>
                <w:rFonts w:ascii="Arial" w:eastAsia="MS Mincho" w:hAnsi="Arial" w:cs="Arial"/>
                <w:sz w:val="22"/>
                <w:szCs w:val="22"/>
                <w:lang w:val="en-US"/>
              </w:rPr>
              <w:t> </w:t>
            </w:r>
            <w:proofErr w:type="gramStart"/>
            <w:r>
              <w:rPr>
                <w:rFonts w:ascii="Arial" w:eastAsia="MS Mincho" w:hAnsi="Arial" w:cs="Arial"/>
                <w:sz w:val="22"/>
                <w:szCs w:val="22"/>
                <w:lang w:val="en-US"/>
              </w:rPr>
              <w:t>use</w:t>
            </w:r>
            <w:proofErr w:type="gramEnd"/>
            <w:r>
              <w:rPr>
                <w:rFonts w:ascii="Arial" w:eastAsia="MS Mincho" w:hAnsi="Arial" w:cs="Arial"/>
                <w:sz w:val="22"/>
                <w:szCs w:val="22"/>
                <w:lang w:val="en-US"/>
              </w:rPr>
              <w:t xml:space="preserve"> </w:t>
            </w:r>
            <w:r w:rsidRPr="00EF0120">
              <w:rPr>
                <w:rFonts w:ascii="Arial" w:eastAsia="MS Mincho" w:hAnsi="Arial" w:cs="Arial"/>
                <w:sz w:val="22"/>
                <w:szCs w:val="22"/>
                <w:lang w:val="en-US"/>
              </w:rPr>
              <w:t>advanced</w:t>
            </w:r>
            <w:r>
              <w:rPr>
                <w:rFonts w:ascii="Arial" w:eastAsia="MS Mincho" w:hAnsi="Arial" w:cs="Arial"/>
                <w:b/>
                <w:sz w:val="22"/>
                <w:szCs w:val="22"/>
                <w:u w:val="single"/>
                <w:lang w:val="en-US"/>
              </w:rPr>
              <w:t xml:space="preserve"> </w:t>
            </w:r>
            <w:r w:rsidRPr="00EF0120">
              <w:rPr>
                <w:rFonts w:ascii="Arial" w:eastAsia="MS Mincho" w:hAnsi="Arial" w:cs="Arial"/>
                <w:sz w:val="22"/>
                <w:szCs w:val="22"/>
                <w:lang w:val="en-US"/>
              </w:rPr>
              <w:t>practical skills of assessment to</w:t>
            </w:r>
            <w:r>
              <w:rPr>
                <w:rFonts w:ascii="Arial" w:eastAsia="MS Mincho" w:hAnsi="Arial" w:cs="Arial"/>
                <w:sz w:val="22"/>
                <w:szCs w:val="22"/>
                <w:lang w:val="en-US"/>
              </w:rPr>
              <w:t xml:space="preserve"> differentially diagnose  presenting sporting knee conditions </w:t>
            </w:r>
            <w:r>
              <w:rPr>
                <w:rFonts w:ascii="Arial" w:eastAsia="MS Mincho" w:hAnsi="Arial" w:cs="Arial"/>
                <w:b/>
                <w:sz w:val="22"/>
                <w:szCs w:val="22"/>
                <w:u w:val="single"/>
                <w:lang w:val="en-US"/>
              </w:rPr>
              <w:t xml:space="preserve"> including </w:t>
            </w:r>
            <w:r>
              <w:rPr>
                <w:rFonts w:ascii="Arial" w:eastAsia="MS Mincho" w:hAnsi="Arial" w:cs="Arial"/>
                <w:sz w:val="22"/>
                <w:szCs w:val="22"/>
                <w:lang w:val="en-US"/>
              </w:rPr>
              <w:t xml:space="preserve">patella dislocation, ACL/ PCL / MCL / LCL ligament injuries , </w:t>
            </w:r>
            <w:proofErr w:type="spellStart"/>
            <w:r>
              <w:rPr>
                <w:rFonts w:ascii="Arial" w:eastAsia="MS Mincho" w:hAnsi="Arial" w:cs="Arial"/>
                <w:sz w:val="22"/>
                <w:szCs w:val="22"/>
                <w:lang w:val="en-US"/>
              </w:rPr>
              <w:t>patellofemoral</w:t>
            </w:r>
            <w:proofErr w:type="spellEnd"/>
            <w:r>
              <w:rPr>
                <w:rFonts w:ascii="Arial" w:eastAsia="MS Mincho" w:hAnsi="Arial" w:cs="Arial"/>
                <w:sz w:val="22"/>
                <w:szCs w:val="22"/>
                <w:lang w:val="en-US"/>
              </w:rPr>
              <w:t xml:space="preserve"> pain, meniscal / </w:t>
            </w:r>
            <w:proofErr w:type="spellStart"/>
            <w:r>
              <w:rPr>
                <w:rFonts w:ascii="Arial" w:eastAsia="MS Mincho" w:hAnsi="Arial" w:cs="Arial"/>
                <w:sz w:val="22"/>
                <w:szCs w:val="22"/>
                <w:lang w:val="en-US"/>
              </w:rPr>
              <w:t>chondral</w:t>
            </w:r>
            <w:proofErr w:type="spellEnd"/>
            <w:r>
              <w:rPr>
                <w:rFonts w:ascii="Arial" w:eastAsia="MS Mincho" w:hAnsi="Arial" w:cs="Arial"/>
                <w:sz w:val="22"/>
                <w:szCs w:val="22"/>
                <w:lang w:val="en-US"/>
              </w:rPr>
              <w:t xml:space="preserve"> pathology , patella </w:t>
            </w:r>
            <w:proofErr w:type="spellStart"/>
            <w:r>
              <w:rPr>
                <w:rFonts w:ascii="Arial" w:eastAsia="MS Mincho" w:hAnsi="Arial" w:cs="Arial"/>
                <w:sz w:val="22"/>
                <w:szCs w:val="22"/>
                <w:lang w:val="en-US"/>
              </w:rPr>
              <w:t>tendinopathy</w:t>
            </w:r>
            <w:proofErr w:type="spellEnd"/>
          </w:p>
        </w:tc>
      </w:tr>
      <w:tr w:rsidR="00C87F3C" w:rsidRPr="001205EF" w:rsidTr="00FB5125">
        <w:trPr>
          <w:trHeight w:val="350"/>
        </w:trPr>
        <w:tc>
          <w:tcPr>
            <w:tcW w:w="10031" w:type="dxa"/>
          </w:tcPr>
          <w:p w:rsidR="00C87F3C" w:rsidRPr="001205EF" w:rsidRDefault="00C87F3C" w:rsidP="00FB5125">
            <w:pPr>
              <w:pStyle w:val="PlainText"/>
              <w:rPr>
                <w:rFonts w:ascii="Arial" w:hAnsi="Arial" w:cs="Arial"/>
                <w:noProof/>
              </w:rPr>
            </w:pPr>
            <w:r w:rsidRPr="001205EF">
              <w:rPr>
                <w:rFonts w:ascii="Arial" w:hAnsi="Arial" w:cs="Arial"/>
                <w:noProof/>
              </w:rPr>
              <w:t xml:space="preserve">2. </w:t>
            </w:r>
            <w:r w:rsidRPr="00EF0120">
              <w:rPr>
                <w:rFonts w:ascii="Arial" w:hAnsi="Arial" w:cs="Arial"/>
                <w:noProof/>
                <w:u w:val="single"/>
              </w:rPr>
              <w:fldChar w:fldCharType="begin">
                <w:ffData>
                  <w:name w:val="Text12"/>
                  <w:enabled/>
                  <w:calcOnExit w:val="0"/>
                  <w:textInput/>
                </w:ffData>
              </w:fldChar>
            </w:r>
            <w:r w:rsidRPr="00EF0120">
              <w:rPr>
                <w:rFonts w:ascii="Arial" w:hAnsi="Arial" w:cs="Arial"/>
                <w:noProof/>
                <w:u w:val="single"/>
              </w:rPr>
              <w:instrText xml:space="preserve"> FORMTEXT </w:instrText>
            </w:r>
            <w:r w:rsidRPr="00EF0120">
              <w:rPr>
                <w:rFonts w:ascii="Arial" w:hAnsi="Arial" w:cs="Arial"/>
                <w:noProof/>
                <w:u w:val="single"/>
              </w:rPr>
            </w:r>
            <w:r w:rsidRPr="00EF0120">
              <w:rPr>
                <w:rFonts w:ascii="Arial" w:hAnsi="Arial" w:cs="Arial"/>
                <w:noProof/>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sidRPr="00EF0120">
              <w:rPr>
                <w:rFonts w:ascii="Arial" w:hAnsi="Arial" w:cs="Arial"/>
                <w:noProof/>
                <w:u w:val="single"/>
              </w:rPr>
              <w:fldChar w:fldCharType="end"/>
            </w:r>
            <w:r w:rsidRPr="00EF0120">
              <w:rPr>
                <w:rFonts w:ascii="Arial" w:eastAsia="MS Mincho" w:hAnsi="Arial" w:cs="Arial"/>
                <w:sz w:val="22"/>
                <w:szCs w:val="22"/>
                <w:u w:val="single"/>
                <w:lang w:val="en-US"/>
              </w:rPr>
              <w:t> </w:t>
            </w:r>
            <w:r w:rsidRPr="00EF0120">
              <w:rPr>
                <w:rFonts w:ascii="Arial" w:eastAsia="MS Mincho" w:hAnsi="Arial" w:cs="Arial"/>
                <w:sz w:val="22"/>
                <w:szCs w:val="22"/>
                <w:u w:val="single"/>
                <w:lang w:val="en-US"/>
              </w:rPr>
              <w:t> </w:t>
            </w:r>
            <w:proofErr w:type="gramStart"/>
            <w:r w:rsidRPr="00EF0120">
              <w:rPr>
                <w:rFonts w:ascii="Arial" w:eastAsia="MS Mincho" w:hAnsi="Arial" w:cs="Arial"/>
                <w:sz w:val="22"/>
                <w:szCs w:val="22"/>
                <w:u w:val="single"/>
                <w:lang w:val="en-US"/>
              </w:rPr>
              <w:t>apply</w:t>
            </w:r>
            <w:proofErr w:type="gramEnd"/>
            <w:r>
              <w:rPr>
                <w:rFonts w:ascii="Arial" w:eastAsia="MS Mincho" w:hAnsi="Arial" w:cs="Arial"/>
                <w:b/>
                <w:sz w:val="22"/>
                <w:szCs w:val="22"/>
                <w:u w:val="single"/>
                <w:lang w:val="en-US"/>
              </w:rPr>
              <w:t xml:space="preserve"> </w:t>
            </w:r>
            <w:r w:rsidRPr="003313FD">
              <w:rPr>
                <w:rFonts w:ascii="Arial" w:eastAsia="MS Mincho" w:hAnsi="Arial" w:cs="Arial"/>
                <w:sz w:val="22"/>
                <w:szCs w:val="22"/>
                <w:lang w:val="en-US"/>
              </w:rPr>
              <w:t>advanced assessment of the lower limb kinetic chain and understand the contribution to commonly presenting sporting knee conditions</w:t>
            </w:r>
            <w:r>
              <w:rPr>
                <w:rFonts w:ascii="Arial" w:eastAsia="MS Mincho" w:hAnsi="Arial" w:cs="Arial"/>
                <w:sz w:val="22"/>
                <w:szCs w:val="22"/>
                <w:lang w:val="en-US"/>
              </w:rPr>
              <w:t xml:space="preserve"> as per element 1 </w:t>
            </w:r>
          </w:p>
        </w:tc>
      </w:tr>
      <w:tr w:rsidR="00C87F3C" w:rsidRPr="001205EF" w:rsidTr="00FB5125">
        <w:trPr>
          <w:trHeight w:val="350"/>
        </w:trPr>
        <w:tc>
          <w:tcPr>
            <w:tcW w:w="10031" w:type="dxa"/>
          </w:tcPr>
          <w:p w:rsidR="00C87F3C" w:rsidRPr="001205EF" w:rsidRDefault="00C87F3C" w:rsidP="00FB5125">
            <w:pPr>
              <w:pStyle w:val="PlainText"/>
              <w:rPr>
                <w:rFonts w:ascii="Arial" w:hAnsi="Arial" w:cs="Arial"/>
                <w:noProof/>
              </w:rPr>
            </w:pPr>
            <w:r w:rsidRPr="001205EF">
              <w:rPr>
                <w:rFonts w:ascii="Arial" w:hAnsi="Arial" w:cs="Arial"/>
                <w:noProof/>
              </w:rPr>
              <w:t xml:space="preserve">3. </w:t>
            </w: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proofErr w:type="gramStart"/>
            <w:r w:rsidRPr="00EF0120">
              <w:rPr>
                <w:rFonts w:ascii="Arial" w:eastAsia="MS Mincho" w:hAnsi="Arial" w:cs="Arial"/>
                <w:sz w:val="22"/>
                <w:szCs w:val="22"/>
                <w:lang w:val="en-US"/>
              </w:rPr>
              <w:t>understand</w:t>
            </w:r>
            <w:proofErr w:type="gramEnd"/>
            <w:r w:rsidRPr="00EF0120">
              <w:rPr>
                <w:rFonts w:ascii="Arial" w:eastAsia="MS Mincho" w:hAnsi="Arial" w:cs="Arial"/>
                <w:sz w:val="22"/>
                <w:szCs w:val="22"/>
                <w:lang w:val="en-US"/>
              </w:rPr>
              <w:t xml:space="preserve"> contemporary </w:t>
            </w:r>
            <w:r>
              <w:rPr>
                <w:rFonts w:ascii="Arial" w:eastAsia="MS Mincho" w:hAnsi="Arial" w:cs="Arial"/>
                <w:sz w:val="22"/>
                <w:szCs w:val="22"/>
                <w:lang w:val="en-US"/>
              </w:rPr>
              <w:t xml:space="preserve">evidence of pathogenesis and </w:t>
            </w:r>
            <w:r w:rsidRPr="00EF0120">
              <w:rPr>
                <w:rFonts w:ascii="Arial" w:eastAsia="MS Mincho" w:hAnsi="Arial" w:cs="Arial"/>
                <w:sz w:val="22"/>
                <w:szCs w:val="22"/>
                <w:lang w:val="en-US"/>
              </w:rPr>
              <w:t>world best practice management for commonly presenting sporting knee conditions</w:t>
            </w:r>
            <w:r w:rsidRPr="00823D3E">
              <w:rPr>
                <w:rFonts w:ascii="Arial" w:eastAsia="MS Mincho" w:hAnsi="Arial" w:cs="Arial"/>
                <w:sz w:val="22"/>
                <w:szCs w:val="22"/>
                <w:lang w:val="en-US"/>
              </w:rPr>
              <w:t xml:space="preserve"> as</w:t>
            </w:r>
            <w:r>
              <w:rPr>
                <w:rFonts w:ascii="Arial" w:eastAsia="MS Mincho" w:hAnsi="Arial" w:cs="Arial"/>
                <w:b/>
                <w:sz w:val="22"/>
                <w:szCs w:val="22"/>
                <w:u w:val="single"/>
                <w:lang w:val="en-US"/>
              </w:rPr>
              <w:t xml:space="preserve"> </w:t>
            </w:r>
            <w:r w:rsidRPr="00823D3E">
              <w:rPr>
                <w:rFonts w:ascii="Arial" w:eastAsia="MS Mincho" w:hAnsi="Arial" w:cs="Arial"/>
                <w:sz w:val="22"/>
                <w:szCs w:val="22"/>
                <w:lang w:val="en-US"/>
              </w:rPr>
              <w:t>per learning outcome 1</w:t>
            </w:r>
            <w:r>
              <w:rPr>
                <w:rFonts w:ascii="Arial" w:eastAsia="MS Mincho" w:hAnsi="Arial" w:cs="Arial"/>
                <w:sz w:val="22"/>
                <w:szCs w:val="22"/>
                <w:lang w:val="en-US"/>
              </w:rPr>
              <w:t xml:space="preserve">, including ACL injuries, patella instability and </w:t>
            </w:r>
            <w:proofErr w:type="spellStart"/>
            <w:r>
              <w:rPr>
                <w:rFonts w:ascii="Arial" w:eastAsia="MS Mincho" w:hAnsi="Arial" w:cs="Arial"/>
                <w:sz w:val="22"/>
                <w:szCs w:val="22"/>
                <w:lang w:val="en-US"/>
              </w:rPr>
              <w:t>patellofemoral</w:t>
            </w:r>
            <w:proofErr w:type="spellEnd"/>
            <w:r>
              <w:rPr>
                <w:rFonts w:ascii="Arial" w:eastAsia="MS Mincho" w:hAnsi="Arial" w:cs="Arial"/>
                <w:sz w:val="22"/>
                <w:szCs w:val="22"/>
                <w:lang w:val="en-US"/>
              </w:rPr>
              <w:t xml:space="preserve"> pain, meniscal and </w:t>
            </w:r>
            <w:proofErr w:type="spellStart"/>
            <w:r>
              <w:rPr>
                <w:rFonts w:ascii="Arial" w:eastAsia="MS Mincho" w:hAnsi="Arial" w:cs="Arial"/>
                <w:sz w:val="22"/>
                <w:szCs w:val="22"/>
                <w:lang w:val="en-US"/>
              </w:rPr>
              <w:t>chondral</w:t>
            </w:r>
            <w:proofErr w:type="spellEnd"/>
            <w:r>
              <w:rPr>
                <w:rFonts w:ascii="Arial" w:eastAsia="MS Mincho" w:hAnsi="Arial" w:cs="Arial"/>
                <w:sz w:val="22"/>
                <w:szCs w:val="22"/>
                <w:lang w:val="en-US"/>
              </w:rPr>
              <w:t xml:space="preserve"> injury and patella </w:t>
            </w:r>
            <w:proofErr w:type="spellStart"/>
            <w:r>
              <w:rPr>
                <w:rFonts w:ascii="Arial" w:eastAsia="MS Mincho" w:hAnsi="Arial" w:cs="Arial"/>
                <w:sz w:val="22"/>
                <w:szCs w:val="22"/>
                <w:lang w:val="en-US"/>
              </w:rPr>
              <w:t>tendinopathy</w:t>
            </w:r>
            <w:proofErr w:type="spellEnd"/>
          </w:p>
        </w:tc>
      </w:tr>
      <w:tr w:rsidR="00C87F3C" w:rsidRPr="001205EF" w:rsidTr="00FB5125">
        <w:trPr>
          <w:trHeight w:val="350"/>
        </w:trPr>
        <w:tc>
          <w:tcPr>
            <w:tcW w:w="10031" w:type="dxa"/>
          </w:tcPr>
          <w:p w:rsidR="00C87F3C" w:rsidRPr="001205EF" w:rsidRDefault="00C87F3C" w:rsidP="00FB5125">
            <w:pPr>
              <w:pStyle w:val="PlainText"/>
              <w:rPr>
                <w:rFonts w:ascii="Arial" w:hAnsi="Arial" w:cs="Arial"/>
                <w:noProof/>
              </w:rPr>
            </w:pPr>
            <w:r w:rsidRPr="001205EF">
              <w:rPr>
                <w:rFonts w:ascii="Arial" w:hAnsi="Arial" w:cs="Arial"/>
                <w:noProof/>
              </w:rPr>
              <w:t xml:space="preserve">4. </w:t>
            </w: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proofErr w:type="gramStart"/>
            <w:r w:rsidRPr="003313FD">
              <w:rPr>
                <w:rFonts w:ascii="Arial" w:eastAsia="MS Mincho" w:hAnsi="Arial" w:cs="Arial"/>
                <w:sz w:val="22"/>
                <w:szCs w:val="22"/>
                <w:lang w:val="en-US"/>
              </w:rPr>
              <w:t>apply</w:t>
            </w:r>
            <w:proofErr w:type="gramEnd"/>
            <w:r w:rsidRPr="003313FD">
              <w:rPr>
                <w:rFonts w:ascii="Arial" w:eastAsia="MS Mincho" w:hAnsi="Arial" w:cs="Arial"/>
                <w:sz w:val="22"/>
                <w:szCs w:val="22"/>
                <w:lang w:val="en-US"/>
              </w:rPr>
              <w:t xml:space="preserve"> appropriate acute , mid and end stage rehabilitation techniques for different levels of athletes for commonly presenting sporting knee conditions</w:t>
            </w:r>
            <w:r>
              <w:rPr>
                <w:rFonts w:ascii="Arial" w:eastAsia="MS Mincho" w:hAnsi="Arial" w:cs="Arial"/>
                <w:sz w:val="22"/>
                <w:szCs w:val="22"/>
                <w:lang w:val="en-US"/>
              </w:rPr>
              <w:t xml:space="preserve"> as per learning outcome 1, including testing for safe and optimal success of return to sport </w:t>
            </w:r>
          </w:p>
        </w:tc>
      </w:tr>
      <w:tr w:rsidR="00C87F3C" w:rsidRPr="001205EF" w:rsidTr="00FB5125">
        <w:trPr>
          <w:trHeight w:val="350"/>
        </w:trPr>
        <w:tc>
          <w:tcPr>
            <w:tcW w:w="10031" w:type="dxa"/>
          </w:tcPr>
          <w:p w:rsidR="00C87F3C" w:rsidRPr="001205EF" w:rsidRDefault="00C87F3C" w:rsidP="00FB5125">
            <w:pPr>
              <w:pStyle w:val="PlainText"/>
              <w:rPr>
                <w:rFonts w:ascii="Arial" w:hAnsi="Arial" w:cs="Arial"/>
                <w:noProof/>
              </w:rPr>
            </w:pPr>
            <w:r w:rsidRPr="001205EF">
              <w:rPr>
                <w:rFonts w:ascii="Arial" w:hAnsi="Arial" w:cs="Arial"/>
                <w:noProof/>
              </w:rPr>
              <w:t xml:space="preserve">5. </w:t>
            </w: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proofErr w:type="gramStart"/>
            <w:r>
              <w:rPr>
                <w:rFonts w:ascii="Arial" w:eastAsia="MS Mincho" w:hAnsi="Arial" w:cs="Arial"/>
                <w:sz w:val="22"/>
                <w:szCs w:val="22"/>
                <w:lang w:val="en-US"/>
              </w:rPr>
              <w:t>explore</w:t>
            </w:r>
            <w:proofErr w:type="gramEnd"/>
            <w:r>
              <w:rPr>
                <w:rFonts w:ascii="Arial" w:eastAsia="MS Mincho" w:hAnsi="Arial" w:cs="Arial"/>
                <w:sz w:val="22"/>
                <w:szCs w:val="22"/>
                <w:lang w:val="en-US"/>
              </w:rPr>
              <w:t xml:space="preserve"> specific rehab techniques from activation through to strengthening and power development for the quads , hamstrings , gluts and other lower limb kinetic chain  / trunk muscles including </w:t>
            </w:r>
            <w:r w:rsidRPr="009F3C29">
              <w:rPr>
                <w:rFonts w:ascii="Arial" w:eastAsia="MS Mincho" w:hAnsi="Arial" w:cs="Arial"/>
                <w:sz w:val="22"/>
                <w:szCs w:val="22"/>
                <w:lang w:val="en-US"/>
              </w:rPr>
              <w:t xml:space="preserve">neuromuscular rehabilitation </w:t>
            </w:r>
            <w:r>
              <w:rPr>
                <w:rFonts w:ascii="Arial" w:eastAsia="MS Mincho" w:hAnsi="Arial" w:cs="Arial"/>
                <w:sz w:val="22"/>
                <w:szCs w:val="22"/>
                <w:lang w:val="en-US"/>
              </w:rPr>
              <w:t xml:space="preserve">and </w:t>
            </w:r>
            <w:r w:rsidRPr="009F3C29">
              <w:rPr>
                <w:rFonts w:ascii="Arial" w:eastAsia="MS Mincho" w:hAnsi="Arial" w:cs="Arial"/>
                <w:sz w:val="22"/>
                <w:szCs w:val="22"/>
                <w:lang w:val="en-US"/>
              </w:rPr>
              <w:t>gym based rehab techniques,</w:t>
            </w:r>
            <w:r>
              <w:rPr>
                <w:rFonts w:ascii="Arial" w:eastAsia="MS Mincho" w:hAnsi="Arial" w:cs="Arial"/>
                <w:b/>
                <w:sz w:val="22"/>
                <w:szCs w:val="22"/>
                <w:u w:val="single"/>
                <w:lang w:val="en-US"/>
              </w:rPr>
              <w:t xml:space="preserve"> </w:t>
            </w:r>
            <w:r>
              <w:rPr>
                <w:rFonts w:ascii="Arial" w:eastAsia="MS Mincho" w:hAnsi="Arial" w:cs="Arial"/>
                <w:sz w:val="22"/>
                <w:szCs w:val="22"/>
                <w:lang w:val="en-US"/>
              </w:rPr>
              <w:t xml:space="preserve">involved in commonly presenting knee conditions </w:t>
            </w:r>
          </w:p>
        </w:tc>
      </w:tr>
      <w:tr w:rsidR="00C87F3C" w:rsidRPr="001205EF" w:rsidTr="00FB5125">
        <w:trPr>
          <w:trHeight w:val="350"/>
        </w:trPr>
        <w:tc>
          <w:tcPr>
            <w:tcW w:w="10031" w:type="dxa"/>
          </w:tcPr>
          <w:p w:rsidR="00C87F3C" w:rsidRPr="001205EF" w:rsidRDefault="00C87F3C" w:rsidP="00FB5125">
            <w:pPr>
              <w:pStyle w:val="PlainText"/>
              <w:rPr>
                <w:rFonts w:ascii="Arial" w:hAnsi="Arial" w:cs="Arial"/>
                <w:noProof/>
              </w:rPr>
            </w:pPr>
            <w:r w:rsidRPr="001205EF">
              <w:rPr>
                <w:rFonts w:ascii="Arial" w:hAnsi="Arial" w:cs="Arial"/>
                <w:noProof/>
              </w:rPr>
              <w:t xml:space="preserve">6. </w:t>
            </w: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proofErr w:type="gramStart"/>
            <w:r w:rsidRPr="009F3C29">
              <w:rPr>
                <w:rFonts w:ascii="Arial" w:eastAsia="MS Mincho" w:hAnsi="Arial" w:cs="Arial"/>
                <w:sz w:val="22"/>
                <w:szCs w:val="22"/>
                <w:lang w:val="en-US"/>
              </w:rPr>
              <w:t>to</w:t>
            </w:r>
            <w:proofErr w:type="gramEnd"/>
            <w:r w:rsidRPr="009F3C29">
              <w:rPr>
                <w:rFonts w:ascii="Arial" w:eastAsia="MS Mincho" w:hAnsi="Arial" w:cs="Arial"/>
                <w:sz w:val="22"/>
                <w:szCs w:val="22"/>
                <w:lang w:val="en-US"/>
              </w:rPr>
              <w:t xml:space="preserve"> become proficient at  the practical skills of management including taping,  soft tissue techniques , </w:t>
            </w:r>
            <w:r>
              <w:rPr>
                <w:rFonts w:ascii="Arial" w:eastAsia="MS Mincho" w:hAnsi="Arial" w:cs="Arial"/>
                <w:sz w:val="22"/>
                <w:szCs w:val="22"/>
                <w:lang w:val="en-US"/>
              </w:rPr>
              <w:t xml:space="preserve">joint </w:t>
            </w:r>
            <w:proofErr w:type="spellStart"/>
            <w:r>
              <w:rPr>
                <w:rFonts w:ascii="Arial" w:eastAsia="MS Mincho" w:hAnsi="Arial" w:cs="Arial"/>
                <w:sz w:val="22"/>
                <w:szCs w:val="22"/>
                <w:lang w:val="en-US"/>
              </w:rPr>
              <w:t>mobilisations</w:t>
            </w:r>
            <w:proofErr w:type="spellEnd"/>
            <w:r>
              <w:rPr>
                <w:rFonts w:ascii="Arial" w:eastAsia="MS Mincho" w:hAnsi="Arial" w:cs="Arial"/>
                <w:sz w:val="22"/>
                <w:szCs w:val="22"/>
                <w:lang w:val="en-US"/>
              </w:rPr>
              <w:t xml:space="preserve"> , </w:t>
            </w:r>
          </w:p>
        </w:tc>
      </w:tr>
      <w:tr w:rsidR="00C87F3C" w:rsidRPr="001205EF" w:rsidTr="00FB5125">
        <w:trPr>
          <w:trHeight w:val="350"/>
        </w:trPr>
        <w:tc>
          <w:tcPr>
            <w:tcW w:w="10031" w:type="dxa"/>
          </w:tcPr>
          <w:p w:rsidR="00C87F3C" w:rsidRPr="001205EF" w:rsidRDefault="00C87F3C" w:rsidP="00FB5125">
            <w:pPr>
              <w:pStyle w:val="PlainText"/>
              <w:rPr>
                <w:rFonts w:ascii="Arial" w:hAnsi="Arial" w:cs="Arial"/>
                <w:noProof/>
              </w:rPr>
            </w:pPr>
            <w:r w:rsidRPr="001205EF">
              <w:rPr>
                <w:rFonts w:ascii="Arial" w:hAnsi="Arial" w:cs="Arial"/>
                <w:noProof/>
              </w:rPr>
              <w:t xml:space="preserve">7. </w:t>
            </w: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proofErr w:type="gramStart"/>
            <w:r w:rsidRPr="00EE5608">
              <w:rPr>
                <w:rFonts w:ascii="Arial" w:eastAsia="MS Mincho" w:hAnsi="Arial" w:cs="Arial"/>
                <w:sz w:val="22"/>
                <w:szCs w:val="22"/>
                <w:lang w:val="en-US"/>
              </w:rPr>
              <w:t>to</w:t>
            </w:r>
            <w:proofErr w:type="gramEnd"/>
            <w:r w:rsidRPr="00EE5608">
              <w:rPr>
                <w:rFonts w:ascii="Arial" w:eastAsia="MS Mincho" w:hAnsi="Arial" w:cs="Arial"/>
                <w:sz w:val="22"/>
                <w:szCs w:val="22"/>
                <w:lang w:val="en-US"/>
              </w:rPr>
              <w:t xml:space="preserve"> understand the long term outcomes  for commonly presenting sporting knee conditions as per element 1</w:t>
            </w:r>
            <w:r>
              <w:rPr>
                <w:rFonts w:ascii="Arial" w:eastAsia="MS Mincho" w:hAnsi="Arial" w:cs="Arial"/>
                <w:b/>
                <w:sz w:val="22"/>
                <w:szCs w:val="22"/>
                <w:u w:val="single"/>
                <w:lang w:val="en-US"/>
              </w:rPr>
              <w:t xml:space="preserve"> </w:t>
            </w:r>
          </w:p>
        </w:tc>
      </w:tr>
      <w:tr w:rsidR="00C87F3C" w:rsidRPr="001205EF" w:rsidTr="00FB5125">
        <w:trPr>
          <w:trHeight w:val="350"/>
        </w:trPr>
        <w:tc>
          <w:tcPr>
            <w:tcW w:w="10031" w:type="dxa"/>
          </w:tcPr>
          <w:p w:rsidR="00C87F3C" w:rsidRPr="001205EF" w:rsidRDefault="00C87F3C" w:rsidP="00FB5125">
            <w:pPr>
              <w:pStyle w:val="PlainText"/>
              <w:rPr>
                <w:rFonts w:ascii="Arial" w:hAnsi="Arial" w:cs="Arial"/>
                <w:noProof/>
              </w:rPr>
            </w:pPr>
            <w:r w:rsidRPr="001205EF">
              <w:rPr>
                <w:rFonts w:ascii="Arial" w:hAnsi="Arial" w:cs="Arial"/>
                <w:noProof/>
              </w:rPr>
              <w:t xml:space="preserve">8. </w:t>
            </w: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proofErr w:type="gramStart"/>
            <w:r w:rsidRPr="009F3C29">
              <w:rPr>
                <w:rFonts w:ascii="Arial" w:eastAsia="MS Mincho" w:hAnsi="Arial" w:cs="Arial"/>
                <w:sz w:val="22"/>
                <w:szCs w:val="22"/>
                <w:lang w:val="en-US"/>
              </w:rPr>
              <w:t>explore</w:t>
            </w:r>
            <w:proofErr w:type="gramEnd"/>
            <w:r w:rsidRPr="009F3C29">
              <w:rPr>
                <w:rFonts w:ascii="Arial" w:eastAsia="MS Mincho" w:hAnsi="Arial" w:cs="Arial"/>
                <w:sz w:val="22"/>
                <w:szCs w:val="22"/>
                <w:lang w:val="en-US"/>
              </w:rPr>
              <w:t xml:space="preserve"> advanced  clinical reasoning using an actual patient example with a knee problem to discuss nociceptive driver and primary diagnosis , contributing  factors , short and long management and prognosis</w:t>
            </w:r>
          </w:p>
        </w:tc>
      </w:tr>
      <w:tr w:rsidR="00C87F3C" w:rsidRPr="001205EF" w:rsidTr="00FB5125">
        <w:trPr>
          <w:trHeight w:val="350"/>
        </w:trPr>
        <w:tc>
          <w:tcPr>
            <w:tcW w:w="10031" w:type="dxa"/>
          </w:tcPr>
          <w:p w:rsidR="00C87F3C" w:rsidRPr="001205EF" w:rsidRDefault="00C87F3C" w:rsidP="00FB5125">
            <w:pPr>
              <w:pStyle w:val="PlainText"/>
              <w:rPr>
                <w:rFonts w:ascii="Arial" w:hAnsi="Arial" w:cs="Arial"/>
                <w:noProof/>
              </w:rPr>
            </w:pPr>
            <w:r w:rsidRPr="001205EF">
              <w:rPr>
                <w:rFonts w:ascii="Arial" w:hAnsi="Arial" w:cs="Arial"/>
                <w:noProof/>
              </w:rPr>
              <w:t xml:space="preserve">9. </w:t>
            </w: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r w:rsidRPr="001205EF">
              <w:rPr>
                <w:rFonts w:ascii="Arial" w:eastAsia="MS Mincho" w:hAnsi="Arial" w:cs="Arial"/>
                <w:b/>
                <w:sz w:val="22"/>
                <w:szCs w:val="22"/>
                <w:u w:val="single"/>
                <w:lang w:val="en-US"/>
              </w:rPr>
              <w:t> </w:t>
            </w:r>
          </w:p>
        </w:tc>
      </w:tr>
      <w:tr w:rsidR="00C87F3C" w:rsidRPr="001205EF" w:rsidTr="00FB5125">
        <w:trPr>
          <w:trHeight w:val="350"/>
        </w:trPr>
        <w:tc>
          <w:tcPr>
            <w:tcW w:w="10031" w:type="dxa"/>
          </w:tcPr>
          <w:p w:rsidR="00C87F3C" w:rsidRPr="001205EF" w:rsidRDefault="00C87F3C" w:rsidP="00C87F3C">
            <w:pPr>
              <w:pStyle w:val="Bullet"/>
              <w:numPr>
                <w:ilvl w:val="0"/>
                <w:numId w:val="0"/>
              </w:numPr>
              <w:rPr>
                <w:rFonts w:ascii="Arial" w:hAnsi="Arial"/>
                <w:noProof/>
              </w:rPr>
            </w:pPr>
          </w:p>
        </w:tc>
      </w:tr>
    </w:tbl>
    <w:p w:rsidR="00C87F3C" w:rsidRPr="001205EF" w:rsidRDefault="00C87F3C" w:rsidP="00C87F3C">
      <w:pPr>
        <w:pStyle w:val="PlainText"/>
        <w:rPr>
          <w:rFonts w:ascii="Arial" w:eastAsia="MS Mincho" w:hAnsi="Arial" w:cs="Arial"/>
          <w:b/>
          <w:sz w:val="22"/>
          <w:szCs w:val="2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410"/>
        <w:gridCol w:w="1973"/>
      </w:tblGrid>
      <w:tr w:rsidR="00D108FA" w:rsidRPr="001205EF" w:rsidTr="00FB5125">
        <w:tblPrEx>
          <w:tblCellMar>
            <w:top w:w="0" w:type="dxa"/>
            <w:bottom w:w="0" w:type="dxa"/>
          </w:tblCellMar>
        </w:tblPrEx>
        <w:tc>
          <w:tcPr>
            <w:tcW w:w="6345" w:type="dxa"/>
            <w:vAlign w:val="center"/>
          </w:tcPr>
          <w:p w:rsidR="00D108FA" w:rsidRPr="001205EF" w:rsidRDefault="00D108FA" w:rsidP="00FB5125">
            <w:pPr>
              <w:pStyle w:val="PlainText"/>
              <w:spacing w:before="120" w:after="120"/>
              <w:jc w:val="center"/>
              <w:rPr>
                <w:rFonts w:ascii="Arial" w:eastAsia="MS Mincho" w:hAnsi="Arial" w:cs="Arial"/>
                <w:b/>
                <w:sz w:val="22"/>
                <w:szCs w:val="22"/>
              </w:rPr>
            </w:pPr>
            <w:r w:rsidRPr="001205EF">
              <w:rPr>
                <w:rFonts w:ascii="Arial" w:eastAsia="MS Mincho" w:hAnsi="Arial" w:cs="Arial"/>
                <w:b/>
                <w:sz w:val="22"/>
                <w:szCs w:val="22"/>
              </w:rPr>
              <w:t>Brief description of each assessment task and how performance will be rated</w:t>
            </w:r>
          </w:p>
        </w:tc>
        <w:tc>
          <w:tcPr>
            <w:tcW w:w="2410" w:type="dxa"/>
            <w:vAlign w:val="center"/>
          </w:tcPr>
          <w:p w:rsidR="00D108FA" w:rsidRPr="001205EF" w:rsidRDefault="00D108FA" w:rsidP="00FB5125">
            <w:pPr>
              <w:pStyle w:val="PlainText"/>
              <w:spacing w:before="120" w:after="120"/>
              <w:jc w:val="center"/>
              <w:rPr>
                <w:rFonts w:ascii="Arial" w:eastAsia="MS Mincho" w:hAnsi="Arial" w:cs="Arial"/>
                <w:b/>
                <w:sz w:val="22"/>
                <w:szCs w:val="22"/>
              </w:rPr>
            </w:pPr>
            <w:r w:rsidRPr="001205EF">
              <w:rPr>
                <w:rFonts w:ascii="Arial" w:eastAsia="MS Mincho" w:hAnsi="Arial" w:cs="Arial"/>
                <w:b/>
                <w:sz w:val="22"/>
                <w:szCs w:val="22"/>
              </w:rPr>
              <w:t>Corresponding Learning Outcome</w:t>
            </w:r>
            <w:r>
              <w:rPr>
                <w:rFonts w:ascii="Arial" w:eastAsia="MS Mincho" w:hAnsi="Arial" w:cs="Arial"/>
                <w:b/>
                <w:sz w:val="22"/>
                <w:szCs w:val="22"/>
              </w:rPr>
              <w:t>/s</w:t>
            </w:r>
            <w:r w:rsidRPr="001205EF">
              <w:rPr>
                <w:rFonts w:ascii="Arial" w:eastAsia="MS Mincho" w:hAnsi="Arial" w:cs="Arial"/>
                <w:b/>
                <w:sz w:val="22"/>
                <w:szCs w:val="22"/>
              </w:rPr>
              <w:t xml:space="preserve"> (refer to step 3)</w:t>
            </w:r>
          </w:p>
        </w:tc>
        <w:tc>
          <w:tcPr>
            <w:tcW w:w="1973" w:type="dxa"/>
            <w:vAlign w:val="center"/>
          </w:tcPr>
          <w:p w:rsidR="00D108FA" w:rsidRPr="001205EF" w:rsidRDefault="00D108FA" w:rsidP="00FB5125">
            <w:pPr>
              <w:pStyle w:val="PlainText"/>
              <w:spacing w:before="120" w:after="120"/>
              <w:jc w:val="center"/>
              <w:rPr>
                <w:rFonts w:ascii="Arial" w:eastAsia="MS Mincho" w:hAnsi="Arial" w:cs="Arial"/>
                <w:b/>
                <w:sz w:val="22"/>
                <w:szCs w:val="22"/>
              </w:rPr>
            </w:pPr>
            <w:r w:rsidRPr="001205EF">
              <w:rPr>
                <w:rFonts w:ascii="Arial" w:eastAsia="MS Mincho" w:hAnsi="Arial" w:cs="Arial"/>
                <w:b/>
                <w:sz w:val="22"/>
                <w:szCs w:val="22"/>
              </w:rPr>
              <w:t>Timing of task (During or after course)</w:t>
            </w:r>
          </w:p>
        </w:tc>
      </w:tr>
      <w:tr w:rsidR="00D108FA" w:rsidRPr="001205EF" w:rsidTr="00FB5125">
        <w:tblPrEx>
          <w:tblCellMar>
            <w:top w:w="0" w:type="dxa"/>
            <w:bottom w:w="0" w:type="dxa"/>
          </w:tblCellMar>
        </w:tblPrEx>
        <w:tc>
          <w:tcPr>
            <w:tcW w:w="6345" w:type="dxa"/>
          </w:tcPr>
          <w:p w:rsidR="00D108FA" w:rsidRPr="001205EF" w:rsidRDefault="00D108FA" w:rsidP="00FB5125">
            <w:pPr>
              <w:pStyle w:val="PlainText"/>
              <w:rPr>
                <w:rFonts w:ascii="Arial" w:eastAsia="MS Mincho" w:hAnsi="Arial" w:cs="Arial"/>
                <w:sz w:val="22"/>
              </w:rPr>
            </w:pP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p>
        </w:tc>
        <w:tc>
          <w:tcPr>
            <w:tcW w:w="2410" w:type="dxa"/>
          </w:tcPr>
          <w:p w:rsidR="00D108FA" w:rsidRPr="001205EF" w:rsidRDefault="00D108FA" w:rsidP="00FB5125">
            <w:pPr>
              <w:pStyle w:val="PlainText"/>
              <w:rPr>
                <w:rFonts w:ascii="Arial" w:eastAsia="MS Mincho" w:hAnsi="Arial" w:cs="Arial"/>
                <w:sz w:val="22"/>
              </w:rPr>
            </w:pP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p>
        </w:tc>
        <w:tc>
          <w:tcPr>
            <w:tcW w:w="1973" w:type="dxa"/>
          </w:tcPr>
          <w:p w:rsidR="00D108FA" w:rsidRPr="001205EF" w:rsidRDefault="00D108FA" w:rsidP="00FB5125">
            <w:pPr>
              <w:pStyle w:val="PlainText"/>
              <w:rPr>
                <w:rFonts w:ascii="Arial" w:eastAsia="MS Mincho" w:hAnsi="Arial" w:cs="Arial"/>
                <w:sz w:val="22"/>
              </w:rPr>
            </w:pP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p>
        </w:tc>
      </w:tr>
      <w:tr w:rsidR="00D108FA" w:rsidRPr="001205EF" w:rsidTr="00FB5125">
        <w:tblPrEx>
          <w:tblCellMar>
            <w:top w:w="0" w:type="dxa"/>
            <w:bottom w:w="0" w:type="dxa"/>
          </w:tblCellMar>
        </w:tblPrEx>
        <w:tc>
          <w:tcPr>
            <w:tcW w:w="6345" w:type="dxa"/>
          </w:tcPr>
          <w:p w:rsidR="00D108FA" w:rsidRPr="001205EF" w:rsidRDefault="00D108FA" w:rsidP="00FB5125">
            <w:pPr>
              <w:pStyle w:val="PlainText"/>
              <w:rPr>
                <w:rFonts w:ascii="Arial" w:eastAsia="MS Mincho" w:hAnsi="Arial" w:cs="Arial"/>
                <w:sz w:val="22"/>
              </w:rPr>
            </w:pP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r>
              <w:rPr>
                <w:rFonts w:ascii="Arial" w:hAnsi="Arial" w:cs="Arial"/>
                <w:noProof/>
              </w:rPr>
              <w:t>1. checklist to be completed ; knee examination including lig testing, meniscal testing, swelling assessment , patellofemoral joint examination, palpation examination</w:t>
            </w:r>
          </w:p>
        </w:tc>
        <w:tc>
          <w:tcPr>
            <w:tcW w:w="2410" w:type="dxa"/>
          </w:tcPr>
          <w:p w:rsidR="00D108FA" w:rsidRPr="001205EF" w:rsidRDefault="00D108FA" w:rsidP="00FB5125">
            <w:pPr>
              <w:pStyle w:val="PlainText"/>
              <w:rPr>
                <w:rFonts w:ascii="Arial" w:eastAsia="MS Mincho" w:hAnsi="Arial" w:cs="Arial"/>
                <w:sz w:val="22"/>
              </w:rPr>
            </w:pP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p>
        </w:tc>
        <w:tc>
          <w:tcPr>
            <w:tcW w:w="1973" w:type="dxa"/>
          </w:tcPr>
          <w:p w:rsidR="00D108FA" w:rsidRPr="001205EF" w:rsidRDefault="00D108FA" w:rsidP="00FB5125">
            <w:pPr>
              <w:pStyle w:val="PlainText"/>
              <w:rPr>
                <w:rFonts w:ascii="Arial" w:eastAsia="MS Mincho" w:hAnsi="Arial" w:cs="Arial"/>
                <w:sz w:val="22"/>
              </w:rPr>
            </w:pP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p>
        </w:tc>
      </w:tr>
      <w:tr w:rsidR="00D108FA" w:rsidRPr="001205EF" w:rsidTr="00FB5125">
        <w:tblPrEx>
          <w:tblCellMar>
            <w:top w:w="0" w:type="dxa"/>
            <w:bottom w:w="0" w:type="dxa"/>
          </w:tblCellMar>
        </w:tblPrEx>
        <w:tc>
          <w:tcPr>
            <w:tcW w:w="6345" w:type="dxa"/>
          </w:tcPr>
          <w:p w:rsidR="00D108FA" w:rsidRPr="001205EF" w:rsidRDefault="00D108FA" w:rsidP="00FB5125">
            <w:pPr>
              <w:pStyle w:val="PlainText"/>
              <w:rPr>
                <w:rFonts w:ascii="Arial" w:eastAsia="MS Mincho" w:hAnsi="Arial" w:cs="Arial"/>
                <w:sz w:val="22"/>
              </w:rPr>
            </w:pP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r>
              <w:rPr>
                <w:rFonts w:ascii="Arial" w:hAnsi="Arial" w:cs="Arial"/>
                <w:noProof/>
              </w:rPr>
              <w:t xml:space="preserve">2. checklist ;practice assessment of local knee , distal and proximal lower limb kientic chain factors on other particpants </w:t>
            </w:r>
          </w:p>
        </w:tc>
        <w:tc>
          <w:tcPr>
            <w:tcW w:w="2410" w:type="dxa"/>
          </w:tcPr>
          <w:p w:rsidR="00D108FA" w:rsidRPr="001205EF" w:rsidRDefault="00D108FA" w:rsidP="00FB5125">
            <w:pPr>
              <w:pStyle w:val="PlainText"/>
              <w:rPr>
                <w:rFonts w:ascii="Arial" w:eastAsia="MS Mincho" w:hAnsi="Arial" w:cs="Arial"/>
                <w:sz w:val="22"/>
              </w:rPr>
            </w:pP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p>
        </w:tc>
        <w:tc>
          <w:tcPr>
            <w:tcW w:w="1973" w:type="dxa"/>
          </w:tcPr>
          <w:p w:rsidR="00D108FA" w:rsidRPr="001205EF" w:rsidRDefault="00D108FA" w:rsidP="00FB5125">
            <w:pPr>
              <w:pStyle w:val="PlainText"/>
              <w:rPr>
                <w:rFonts w:ascii="Arial" w:eastAsia="MS Mincho" w:hAnsi="Arial" w:cs="Arial"/>
                <w:sz w:val="22"/>
              </w:rPr>
            </w:pP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p>
        </w:tc>
      </w:tr>
      <w:tr w:rsidR="00D108FA" w:rsidRPr="001205EF" w:rsidTr="00FB5125">
        <w:tblPrEx>
          <w:tblCellMar>
            <w:top w:w="0" w:type="dxa"/>
            <w:bottom w:w="0" w:type="dxa"/>
          </w:tblCellMar>
        </w:tblPrEx>
        <w:tc>
          <w:tcPr>
            <w:tcW w:w="6345" w:type="dxa"/>
          </w:tcPr>
          <w:p w:rsidR="00D108FA" w:rsidRPr="001205EF" w:rsidRDefault="00D108FA" w:rsidP="00FB5125">
            <w:pPr>
              <w:pStyle w:val="PlainText"/>
              <w:rPr>
                <w:rFonts w:ascii="Arial" w:eastAsia="MS Mincho" w:hAnsi="Arial" w:cs="Arial"/>
                <w:sz w:val="22"/>
              </w:rPr>
            </w:pP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r>
              <w:rPr>
                <w:rFonts w:ascii="Arial" w:hAnsi="Arial" w:cs="Arial"/>
                <w:noProof/>
              </w:rPr>
              <w:t xml:space="preserve">3. to discuss and present  early – mid- end stage rehab programmming as related to ACL lig injury, cartliage injury and knee tendinopathies and demonstrate rehab technqiues  for the local knee and the lower limb kinetic chain to the rest of the group of particpaints </w:t>
            </w:r>
          </w:p>
        </w:tc>
        <w:tc>
          <w:tcPr>
            <w:tcW w:w="2410" w:type="dxa"/>
          </w:tcPr>
          <w:p w:rsidR="00D108FA" w:rsidRPr="001205EF" w:rsidRDefault="00D108FA" w:rsidP="00FB5125">
            <w:pPr>
              <w:pStyle w:val="PlainText"/>
              <w:rPr>
                <w:rFonts w:ascii="Arial" w:eastAsia="MS Mincho" w:hAnsi="Arial" w:cs="Arial"/>
                <w:sz w:val="22"/>
              </w:rPr>
            </w:pP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p>
        </w:tc>
        <w:tc>
          <w:tcPr>
            <w:tcW w:w="1973" w:type="dxa"/>
          </w:tcPr>
          <w:p w:rsidR="00D108FA" w:rsidRPr="001205EF" w:rsidRDefault="00D108FA" w:rsidP="00FB5125">
            <w:pPr>
              <w:pStyle w:val="PlainText"/>
              <w:rPr>
                <w:rFonts w:ascii="Arial" w:eastAsia="MS Mincho" w:hAnsi="Arial" w:cs="Arial"/>
                <w:sz w:val="22"/>
              </w:rPr>
            </w:pP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p>
        </w:tc>
      </w:tr>
      <w:tr w:rsidR="00D108FA" w:rsidRPr="001205EF" w:rsidTr="00FB5125">
        <w:tblPrEx>
          <w:tblCellMar>
            <w:top w:w="0" w:type="dxa"/>
            <w:bottom w:w="0" w:type="dxa"/>
          </w:tblCellMar>
        </w:tblPrEx>
        <w:tc>
          <w:tcPr>
            <w:tcW w:w="6345" w:type="dxa"/>
          </w:tcPr>
          <w:p w:rsidR="00D108FA" w:rsidRPr="001205EF" w:rsidRDefault="00D108FA" w:rsidP="00FB5125">
            <w:pPr>
              <w:pStyle w:val="PlainText"/>
              <w:rPr>
                <w:rFonts w:ascii="Arial" w:eastAsia="MS Mincho" w:hAnsi="Arial" w:cs="Arial"/>
                <w:sz w:val="22"/>
              </w:rPr>
            </w:pP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r>
              <w:rPr>
                <w:rFonts w:ascii="Arial" w:hAnsi="Arial" w:cs="Arial"/>
                <w:noProof/>
              </w:rPr>
              <w:t xml:space="preserve">4. practice local management techqniues ; soft tissue technqiues, taping, stretches etc </w:t>
            </w:r>
          </w:p>
        </w:tc>
        <w:tc>
          <w:tcPr>
            <w:tcW w:w="2410" w:type="dxa"/>
          </w:tcPr>
          <w:p w:rsidR="00D108FA" w:rsidRPr="001205EF" w:rsidRDefault="00D108FA" w:rsidP="00FB5125">
            <w:pPr>
              <w:pStyle w:val="PlainText"/>
              <w:rPr>
                <w:rFonts w:ascii="Arial" w:eastAsia="MS Mincho" w:hAnsi="Arial" w:cs="Arial"/>
                <w:sz w:val="22"/>
              </w:rPr>
            </w:pP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p>
        </w:tc>
        <w:tc>
          <w:tcPr>
            <w:tcW w:w="1973" w:type="dxa"/>
          </w:tcPr>
          <w:p w:rsidR="00D108FA" w:rsidRPr="001205EF" w:rsidRDefault="00D108FA" w:rsidP="00FB5125">
            <w:pPr>
              <w:pStyle w:val="PlainText"/>
              <w:rPr>
                <w:rFonts w:ascii="Arial" w:eastAsia="MS Mincho" w:hAnsi="Arial" w:cs="Arial"/>
                <w:sz w:val="22"/>
              </w:rPr>
            </w:pPr>
            <w:r w:rsidRPr="001205EF">
              <w:rPr>
                <w:rFonts w:ascii="Arial" w:hAnsi="Arial" w:cs="Arial"/>
                <w:noProof/>
              </w:rPr>
              <w:fldChar w:fldCharType="begin">
                <w:ffData>
                  <w:name w:val="Text12"/>
                  <w:enabled/>
                  <w:calcOnExit w:val="0"/>
                  <w:textInput/>
                </w:ffData>
              </w:fldChar>
            </w:r>
            <w:r w:rsidRPr="001205EF">
              <w:rPr>
                <w:rFonts w:ascii="Arial" w:hAnsi="Arial" w:cs="Arial"/>
                <w:noProof/>
              </w:rPr>
              <w:instrText xml:space="preserve"> FORMTEXT </w:instrText>
            </w:r>
            <w:r w:rsidRPr="001205EF">
              <w:rPr>
                <w:rFonts w:ascii="Arial" w:hAnsi="Arial" w:cs="Arial"/>
                <w:noProof/>
              </w:rPr>
            </w:r>
            <w:r w:rsidRPr="001205EF">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1205EF">
              <w:rPr>
                <w:rFonts w:ascii="Arial" w:hAnsi="Arial" w:cs="Arial"/>
                <w:noProof/>
              </w:rPr>
              <w:fldChar w:fldCharType="end"/>
            </w:r>
          </w:p>
        </w:tc>
      </w:tr>
      <w:tr w:rsidR="00D108FA" w:rsidRPr="001205EF" w:rsidTr="00FB5125">
        <w:tblPrEx>
          <w:tblCellMar>
            <w:top w:w="0" w:type="dxa"/>
            <w:bottom w:w="0" w:type="dxa"/>
          </w:tblCellMar>
        </w:tblPrEx>
        <w:tc>
          <w:tcPr>
            <w:tcW w:w="6345" w:type="dxa"/>
          </w:tcPr>
          <w:p w:rsidR="00D108FA" w:rsidRPr="001205EF" w:rsidRDefault="00D108FA" w:rsidP="00FB5125">
            <w:pPr>
              <w:pStyle w:val="PlainText"/>
              <w:rPr>
                <w:rFonts w:ascii="Arial" w:hAnsi="Arial" w:cs="Arial"/>
                <w:noProof/>
              </w:rPr>
            </w:pPr>
            <w:r>
              <w:rPr>
                <w:rFonts w:ascii="Arial" w:hAnsi="Arial" w:cs="Arial"/>
                <w:noProof/>
              </w:rPr>
              <w:t xml:space="preserve">5. each participant to complete a clinical reasoning form during the live patient examination for group discussion following the assessment for their own reflection /metacognition later </w:t>
            </w:r>
          </w:p>
        </w:tc>
        <w:tc>
          <w:tcPr>
            <w:tcW w:w="2410" w:type="dxa"/>
          </w:tcPr>
          <w:p w:rsidR="00D108FA" w:rsidRPr="001205EF" w:rsidRDefault="00D108FA" w:rsidP="00FB5125">
            <w:pPr>
              <w:pStyle w:val="PlainText"/>
              <w:rPr>
                <w:rFonts w:ascii="Arial" w:hAnsi="Arial" w:cs="Arial"/>
                <w:noProof/>
              </w:rPr>
            </w:pPr>
          </w:p>
        </w:tc>
        <w:tc>
          <w:tcPr>
            <w:tcW w:w="1973" w:type="dxa"/>
          </w:tcPr>
          <w:p w:rsidR="00D108FA" w:rsidRPr="001205EF" w:rsidRDefault="00D108FA" w:rsidP="00FB5125">
            <w:pPr>
              <w:pStyle w:val="PlainText"/>
              <w:rPr>
                <w:rFonts w:ascii="Arial" w:hAnsi="Arial" w:cs="Arial"/>
                <w:noProof/>
              </w:rPr>
            </w:pPr>
          </w:p>
        </w:tc>
      </w:tr>
      <w:tr w:rsidR="00D108FA" w:rsidRPr="001205EF" w:rsidTr="00FB5125">
        <w:tblPrEx>
          <w:tblCellMar>
            <w:top w:w="0" w:type="dxa"/>
            <w:bottom w:w="0" w:type="dxa"/>
          </w:tblCellMar>
        </w:tblPrEx>
        <w:tc>
          <w:tcPr>
            <w:tcW w:w="6345" w:type="dxa"/>
          </w:tcPr>
          <w:p w:rsidR="00D108FA" w:rsidRPr="001205EF" w:rsidRDefault="00D108FA" w:rsidP="00FB5125">
            <w:pPr>
              <w:pStyle w:val="PlainText"/>
              <w:rPr>
                <w:rFonts w:ascii="Arial" w:hAnsi="Arial" w:cs="Arial"/>
                <w:noProof/>
              </w:rPr>
            </w:pPr>
          </w:p>
        </w:tc>
        <w:tc>
          <w:tcPr>
            <w:tcW w:w="2410" w:type="dxa"/>
          </w:tcPr>
          <w:p w:rsidR="00D108FA" w:rsidRPr="001205EF" w:rsidRDefault="00D108FA" w:rsidP="00FB5125">
            <w:pPr>
              <w:pStyle w:val="PlainText"/>
              <w:rPr>
                <w:rFonts w:ascii="Arial" w:hAnsi="Arial" w:cs="Arial"/>
                <w:noProof/>
              </w:rPr>
            </w:pPr>
          </w:p>
        </w:tc>
        <w:tc>
          <w:tcPr>
            <w:tcW w:w="1973" w:type="dxa"/>
          </w:tcPr>
          <w:p w:rsidR="00D108FA" w:rsidRPr="001205EF" w:rsidRDefault="00D108FA" w:rsidP="00FB5125">
            <w:pPr>
              <w:pStyle w:val="PlainText"/>
              <w:rPr>
                <w:rFonts w:ascii="Arial" w:hAnsi="Arial" w:cs="Arial"/>
                <w:noProof/>
              </w:rPr>
            </w:pPr>
          </w:p>
        </w:tc>
      </w:tr>
      <w:tr w:rsidR="00D108FA" w:rsidRPr="001205EF" w:rsidTr="00FB5125">
        <w:tblPrEx>
          <w:tblCellMar>
            <w:top w:w="0" w:type="dxa"/>
            <w:bottom w:w="0" w:type="dxa"/>
          </w:tblCellMar>
        </w:tblPrEx>
        <w:tc>
          <w:tcPr>
            <w:tcW w:w="6345" w:type="dxa"/>
          </w:tcPr>
          <w:p w:rsidR="00D108FA" w:rsidRPr="001205EF" w:rsidRDefault="00D108FA" w:rsidP="00FB5125">
            <w:pPr>
              <w:pStyle w:val="PlainText"/>
              <w:rPr>
                <w:rFonts w:ascii="Arial" w:hAnsi="Arial" w:cs="Arial"/>
                <w:noProof/>
              </w:rPr>
            </w:pPr>
          </w:p>
        </w:tc>
        <w:tc>
          <w:tcPr>
            <w:tcW w:w="2410" w:type="dxa"/>
          </w:tcPr>
          <w:p w:rsidR="00D108FA" w:rsidRPr="001205EF" w:rsidRDefault="00D108FA" w:rsidP="00FB5125">
            <w:pPr>
              <w:pStyle w:val="PlainText"/>
              <w:rPr>
                <w:rFonts w:ascii="Arial" w:hAnsi="Arial" w:cs="Arial"/>
                <w:noProof/>
              </w:rPr>
            </w:pPr>
          </w:p>
        </w:tc>
        <w:tc>
          <w:tcPr>
            <w:tcW w:w="1973" w:type="dxa"/>
          </w:tcPr>
          <w:p w:rsidR="00D108FA" w:rsidRPr="001205EF" w:rsidRDefault="00D108FA" w:rsidP="00FB5125">
            <w:pPr>
              <w:pStyle w:val="PlainText"/>
              <w:rPr>
                <w:rFonts w:ascii="Arial" w:hAnsi="Arial" w:cs="Arial"/>
                <w:noProof/>
              </w:rPr>
            </w:pPr>
          </w:p>
        </w:tc>
      </w:tr>
    </w:tbl>
    <w:p w:rsidR="00D108FA" w:rsidRPr="001205EF" w:rsidRDefault="00D108FA" w:rsidP="00D108FA">
      <w:pPr>
        <w:pStyle w:val="PlainText"/>
        <w:rPr>
          <w:rFonts w:ascii="Arial" w:eastAsia="MS Mincho" w:hAnsi="Arial" w:cs="Arial"/>
          <w:b/>
          <w:sz w:val="28"/>
          <w:szCs w:val="28"/>
        </w:rPr>
      </w:pPr>
    </w:p>
    <w:p w:rsidR="00D108FA" w:rsidRDefault="00D108FA" w:rsidP="00D108FA">
      <w:pPr>
        <w:pStyle w:val="PlainText"/>
        <w:rPr>
          <w:rFonts w:ascii="Arial" w:eastAsia="MS Mincho" w:hAnsi="Arial" w:cs="Arial"/>
          <w:b/>
          <w:color w:val="009FDA"/>
          <w:sz w:val="32"/>
          <w:szCs w:val="28"/>
        </w:rPr>
      </w:pPr>
    </w:p>
    <w:p w:rsidR="008A6FCD" w:rsidRPr="00C87F3C" w:rsidRDefault="008A6FCD" w:rsidP="00C87F3C">
      <w:bookmarkStart w:id="0" w:name="_GoBack"/>
      <w:bookmarkEnd w:id="0"/>
    </w:p>
    <w:sectPr w:rsidR="008A6FCD" w:rsidRPr="00C87F3C" w:rsidSect="008A6F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auto"/>
    <w:pitch w:val="variable"/>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5088"/>
    <w:multiLevelType w:val="hybridMultilevel"/>
    <w:tmpl w:val="880A5226"/>
    <w:lvl w:ilvl="0" w:tplc="B0AC4EFC">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3C"/>
    <w:rsid w:val="008A6FCD"/>
    <w:rsid w:val="00C87F3C"/>
    <w:rsid w:val="00D10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3C"/>
    <w:rPr>
      <w:rFonts w:ascii="Times New Roman" w:eastAsia="Times New Roman" w:hAnsi="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87F3C"/>
    <w:rPr>
      <w:rFonts w:ascii="Courier New" w:hAnsi="Courier New"/>
      <w:sz w:val="20"/>
    </w:rPr>
  </w:style>
  <w:style w:type="character" w:customStyle="1" w:styleId="PlainTextChar">
    <w:name w:val="Plain Text Char"/>
    <w:basedOn w:val="DefaultParagraphFont"/>
    <w:link w:val="PlainText"/>
    <w:rsid w:val="00C87F3C"/>
    <w:rPr>
      <w:rFonts w:ascii="Courier New" w:eastAsia="Times New Roman" w:hAnsi="Courier New" w:cs="Times New Roman"/>
      <w:sz w:val="20"/>
      <w:szCs w:val="20"/>
      <w:lang w:val="en-AU"/>
    </w:rPr>
  </w:style>
  <w:style w:type="paragraph" w:customStyle="1" w:styleId="Bullet">
    <w:name w:val="Bullet"/>
    <w:basedOn w:val="ListParagraph"/>
    <w:qFormat/>
    <w:rsid w:val="00C87F3C"/>
    <w:pPr>
      <w:widowControl w:val="0"/>
      <w:numPr>
        <w:numId w:val="1"/>
      </w:numPr>
      <w:tabs>
        <w:tab w:val="num" w:pos="360"/>
        <w:tab w:val="num" w:pos="720"/>
      </w:tabs>
      <w:spacing w:after="120" w:line="240" w:lineRule="exact"/>
      <w:ind w:left="567" w:hanging="567"/>
      <w:contextualSpacing w:val="0"/>
    </w:pPr>
    <w:rPr>
      <w:rFonts w:ascii="Arial Narrow" w:hAnsi="Arial Narrow" w:cs="Arial"/>
      <w:color w:val="2E3640"/>
      <w:w w:val="90"/>
      <w:kern w:val="28"/>
      <w:szCs w:val="18"/>
      <w:lang w:val="en"/>
    </w:rPr>
  </w:style>
  <w:style w:type="paragraph" w:styleId="ListParagraph">
    <w:name w:val="List Paragraph"/>
    <w:basedOn w:val="Normal"/>
    <w:uiPriority w:val="34"/>
    <w:qFormat/>
    <w:rsid w:val="00C87F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3C"/>
    <w:rPr>
      <w:rFonts w:ascii="Times New Roman" w:eastAsia="Times New Roman" w:hAnsi="Times New Roman"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87F3C"/>
    <w:rPr>
      <w:rFonts w:ascii="Courier New" w:hAnsi="Courier New"/>
      <w:sz w:val="20"/>
    </w:rPr>
  </w:style>
  <w:style w:type="character" w:customStyle="1" w:styleId="PlainTextChar">
    <w:name w:val="Plain Text Char"/>
    <w:basedOn w:val="DefaultParagraphFont"/>
    <w:link w:val="PlainText"/>
    <w:rsid w:val="00C87F3C"/>
    <w:rPr>
      <w:rFonts w:ascii="Courier New" w:eastAsia="Times New Roman" w:hAnsi="Courier New" w:cs="Times New Roman"/>
      <w:sz w:val="20"/>
      <w:szCs w:val="20"/>
      <w:lang w:val="en-AU"/>
    </w:rPr>
  </w:style>
  <w:style w:type="paragraph" w:customStyle="1" w:styleId="Bullet">
    <w:name w:val="Bullet"/>
    <w:basedOn w:val="ListParagraph"/>
    <w:qFormat/>
    <w:rsid w:val="00C87F3C"/>
    <w:pPr>
      <w:widowControl w:val="0"/>
      <w:numPr>
        <w:numId w:val="1"/>
      </w:numPr>
      <w:tabs>
        <w:tab w:val="num" w:pos="360"/>
        <w:tab w:val="num" w:pos="720"/>
      </w:tabs>
      <w:spacing w:after="120" w:line="240" w:lineRule="exact"/>
      <w:ind w:left="567" w:hanging="567"/>
      <w:contextualSpacing w:val="0"/>
    </w:pPr>
    <w:rPr>
      <w:rFonts w:ascii="Arial Narrow" w:hAnsi="Arial Narrow" w:cs="Arial"/>
      <w:color w:val="2E3640"/>
      <w:w w:val="90"/>
      <w:kern w:val="28"/>
      <w:szCs w:val="18"/>
      <w:lang w:val="en"/>
    </w:rPr>
  </w:style>
  <w:style w:type="paragraph" w:styleId="ListParagraph">
    <w:name w:val="List Paragraph"/>
    <w:basedOn w:val="Normal"/>
    <w:uiPriority w:val="34"/>
    <w:qFormat/>
    <w:rsid w:val="00C87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2799</Characters>
  <Application>Microsoft Macintosh Word</Application>
  <DocSecurity>0</DocSecurity>
  <Lines>23</Lines>
  <Paragraphs>6</Paragraphs>
  <ScaleCrop>false</ScaleCrop>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Rooney</dc:creator>
  <cp:keywords/>
  <dc:description/>
  <cp:lastModifiedBy>Jane Rooney</cp:lastModifiedBy>
  <cp:revision>2</cp:revision>
  <dcterms:created xsi:type="dcterms:W3CDTF">2017-04-28T07:33:00Z</dcterms:created>
  <dcterms:modified xsi:type="dcterms:W3CDTF">2017-04-28T07:33:00Z</dcterms:modified>
</cp:coreProperties>
</file>